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建筑工程设计招标投标管理办法</w:t>
      </w:r>
    </w:p>
    <w:p>
      <w:pPr>
        <w:pStyle w:val="3"/>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中华人民共和国住房和城乡建设部令第33号</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《建筑工程设计招标投标管理办法》已经第32次部常务会议审议通过，现予发布，自2017年5月1日起施行。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080" w:firstLineChars="1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住房城乡建设部部长 陈政高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920" w:firstLineChars="1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2017年1月24日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textAlignment w:val="auto"/>
        <w:rPr>
          <w:rFonts w:hint="eastAsia" w:ascii="宋体" w:hAnsi="宋体" w:eastAsia="宋体" w:cs="宋体"/>
          <w:color w:val="auto"/>
          <w:sz w:val="28"/>
          <w:szCs w:val="28"/>
        </w:rPr>
      </w:pPr>
      <w:bookmarkStart w:id="0" w:name="_GoBack"/>
      <w:bookmarkEnd w:id="0"/>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为规范建筑工程设计市场，提高建筑工程设计水平，促进公平竞争，繁荣建筑创作，根据《中华人民共和国建筑法》、《中华人民共和国招标投标法》、《建设工程勘察设计管理条例》和《中华人民共和国招标投标法实施条例》等法律法规，制定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依法必须进行招标的各类房屋建筑工程，其设计招标投标活动，适用本办法。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国务院住房城乡建设主管部门依法对全国建筑工程设计招标投标活动实施监督。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县级以上地方人民政府住房城乡建设主管部门依法对本行政区域内建筑工程设计招标投标活动实施监督，依法查处招标投标活动中的违法违规行为。 </w:t>
      </w:r>
    </w:p>
    <w:p>
      <w:pPr>
        <w:keepNext w:val="0"/>
        <w:keepLines w:val="0"/>
        <w:pageBreakBefore w:val="0"/>
        <w:widowControl w:val="0"/>
        <w:kinsoku/>
        <w:wordWrap/>
        <w:overflowPunct/>
        <w:topLinePunct w:val="0"/>
        <w:autoSpaceDE/>
        <w:autoSpaceDN/>
        <w:bidi w:val="0"/>
        <w:adjustRightInd w:val="0"/>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建筑工程设计招标范围和规模标准按照国家有关规定执行，有下列情形之一的，可以不进行招标： </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采用不可替代的专利或者专有技术的； </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对建筑艺术造型有特殊要求，并经有关主管部门批准的； </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建设单位依法能够自行设计的； </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建筑工程项目的改建、扩建或者技术改造，需要由原设计单位设计，否则将影响功能配套要求的； </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国家规定的其他特殊情形。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第五条 建筑工程设计招标应当依法进行公开招标或者邀请招标。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第六条 建筑工程设计招标可以采用设计方案招标或者设计团队招标，招标人可以根据项目特点和实际需要选择。   设计方案招标，是指主要通过对投标人提交的设计方案进行评审确定中标人。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设计团队招标，是指主要通过对投标人拟派设计团队的综合能力进行评审确定中标人。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公开招标的，招标人应当发布招标公告。邀请招标的，招标人应当向3个以上潜在投标人发出投标邀请书。   招标公告或者投标邀请书应当载明招标人名称和地址、招标项目的基本要求、投标人的资质要求以及获取招标文件的办法等事项。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招标人一般应当将建筑工程的方案设计、初步设计和施工图设计一并招标。确需另行选择设计单位承担初步设计、施工图设计的，应当在招标公告或者投标邀请书中明确。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第九条 鼓励建筑工程实行设计总包。实行设计总包的，按照合同约定或者经招标人同意，设计单位可以不通过招标方式将建筑工程非主体部分的设计进行分包。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招标文件应当满足设计方案招标或者设计团队招标的不同需求，主要包括以下内容：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城乡规划和城市设计对项目的基本要求；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项目工程经济技术要求；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项目有关基础资料；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招标内容；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招标文件答疑、现场踏勘安排；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投标文件编制要求；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评标标准和方法；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 xml:space="preserve">投标文件送达地点和截止时间；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w:t>
      </w:r>
      <w:r>
        <w:rPr>
          <w:rFonts w:hint="eastAsia" w:ascii="宋体" w:hAnsi="宋体" w:eastAsia="宋体" w:cs="宋体"/>
          <w:color w:val="auto"/>
          <w:sz w:val="28"/>
          <w:szCs w:val="28"/>
        </w:rPr>
        <w:t xml:space="preserve">开标时间和地点；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（十一）</w:t>
      </w:r>
      <w:r>
        <w:rPr>
          <w:rFonts w:hint="eastAsia" w:ascii="宋体" w:hAnsi="宋体" w:eastAsia="宋体" w:cs="宋体"/>
          <w:color w:val="auto"/>
          <w:sz w:val="28"/>
          <w:szCs w:val="28"/>
        </w:rPr>
        <w:t xml:space="preserve">拟签订合同的主要条款；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（十二）</w:t>
      </w:r>
      <w:r>
        <w:rPr>
          <w:rFonts w:hint="eastAsia" w:ascii="宋体" w:hAnsi="宋体" w:eastAsia="宋体" w:cs="宋体"/>
          <w:color w:val="auto"/>
          <w:sz w:val="28"/>
          <w:szCs w:val="28"/>
        </w:rPr>
        <w:t xml:space="preserve">设计费或者计费方法；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（十三）未中标方案补偿办法。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招标人应当在资格预审公告、招标公告或者投标邀请书中载明是否接受联合体投标。采用联合体形式投标的，联合体各方应当签订共同投标协议，明确约定各方承担的工作和责任，就中标项目向招标人承担连带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招标人可以对已发出的招标文件进行必要的澄清或者修改。澄清或者修改的内容可能影响投标文件编制的，招标人应当在投标截止时间至少15日前，以书面形式通知所有获取招标文件的潜在投标人，不足15日的，招标人应当顺延提交投标文件的截止时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潜在投标人或者其他利害关系人对招标文件有异议的，应当在投标截止时间10日前提出。招标人应当自收到异议之日起3日内作出答复；作出答复前，应当暂停招标投标活动。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招标人应当确定投标人编制投标文件所需要的合理时间，自招标文件开始发出之日起至投标人提交投标文件截止之日止，时限最短不少于20日。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投标人应当具有与招标项目相适应的工程设计资质。境外设计单位参加国内建筑工程设计投标的，按照国家有关规定执行。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投标人应当按照招标文件的要求编制投标文件。投标文件应当对招标文件提出的实质性要求和条件作出响应。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第十六条 评标由评标委员会负责。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评标委员会由招标人代表和有关专家组成。评标委员会人数为5人以上单数，其中技术和经济方面的专家不得少于成员总数的2/3。建筑工程设计方案评标时，建筑专业专家不得少于技术和经济方面专家总数的2/3。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专家一般从专家库随机抽取，对于技术复杂、专业性强或者国家有特殊要求的项目，招标人也可以直接邀请相应专业的中国科学院院士、中国工程院院士、全国工程勘察设计大师以及境外具有相应资历的专家参加评标。投标人或者与投标人有利害关系的人员不得参加评标委员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第十七条 有下列情形之一的，评标委员会应当否决其投标：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投标文件未按招标文件要求经投标人盖章和单位负责人签字；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投标联合体没有提交共同投标协议；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投标人不符合国家或者招标文件规定的资格条件；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同一投标人提交两个以上不同的投标文件或者投标报价，但招标文件要求提交备选投标的除外；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投标文件没有对招标文件的实质性要求和条件作出响应；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投标人有串通投标、弄虚作假、行贿等违法行为；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法律法规规定的其他应当否决投标的情形。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第十八条 评标委员会应当按照招标文件确定的评标标准和方法，对投标文件进行评审。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采用设计方案招标的，评标委员会应当在符合城乡规划、城市设计以及安全、绿色、节能、环保要求的前提下，重点对功能、技术、经济和美观等进行评审。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采用设计团队招标的，评标委员会应当对投标人拟从事项目设计的人员构成、人员业绩、人员从业经历、项目解读、设计构思、投标人信用情况和业绩等进行评审。 </w:t>
      </w:r>
    </w:p>
    <w:p>
      <w:pPr>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评标委员会应当在评标完成后，向招标人提出书面评标报告，推荐不超过3个中标候选人，并标明顺序。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招标人应当公示中标候选人。采用设计团队招标的，招标人应当公示中标候选人投标文件中所列主要人员、业绩等内容。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招标人根据评标委员会的书面评标报告和推荐的中标候选人确定中标人。招标人也可以授权评标委员会直接确定中标人。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采用设计方案招标的，招标人认为评标委员会推荐的候选方案不能最大限度满足招标文件规定的要求的，应当依法重新招标。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招标人应当在确定中标人后及时向中标人发出中标通知书，并同时将中标结果通知所有未中标人。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招标人应当自确定中标人之日起15日内，向县级以上地方人民政府住房城乡建设主管部门提交招标投标情况的书面报告。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第二十四条 县级以上地方人民政府住房城乡建设主管部门应当自收到招标投标情况的书面报告之日起 5 个工作日内，公开专家评审意见等信息，涉及国家秘密、商业秘密的除外。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招标人和中标人应当自中标通知书发出之日起30日内，按照招标文件和中标人的投标文件订立书面合同。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招标人、中标人使用未中标方案的，应当征得提交方案的投标人同意并付给使用费。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第二十七条 国务院住房城乡建设主管部门，省、自治区、直辖市人民政府住房城乡建设主管部门应当加强建筑工程设计评标专家和专家库的管理。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建筑专业专家库应当按建筑工程类别细化分类。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第二十八条 住房城乡建设主管部门应当加快推进电子招标投标，完善招标投标信息平台建设，促进建筑工程设计招标投标信息化监管。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第二十九条 招标人以不合理的条件限制或者排斥潜在投标人的，对潜在投标人实行歧视待遇的，强制要求投标人组成联合体共同投标的，或者限制投标人之间竞争的，由县级以上地方人民政府住房城乡建设主管部门责令改正，可以处 1 万元以上5万元以下的罚款。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第三十条 招标人澄清、修改招标文件的时限，或者确定的提交投标文件的时限不符合本办法规定的，由县级以上地方人民政府住房城乡建设主管部门责令改正，可以处10万元以下的罚款。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第三十一条 招标人不按照规定组建评标委员会，或者评标委员会成员的确定违反本办法规定的，由县级以上地方人民政府住房城乡建设主管部门责令改正，可以处10万元以下的罚款，相应评审结论无效，依法重新进行评审。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第三十二条 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无正当理由未按本办法规定发出中标通知书；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不按照规定确定中标人；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中标通知书发出后无正当理由改变中标结果；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无正当理由未按本办法规定与中标人订立合同；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在订立合同时向中标人提出附加条件。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第三十三条 投标人以他人名义投标或者以其他方式弄虚作假，骗取中标的，中标无效，给招标人造成损失的，依法承担赔偿责任；构成犯罪的，依法追究刑事责任。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投标人有前款所列行为尚未构成犯罪的，由县级以上地方人民政府住房城乡建设主管部门处中标项目金额 5‰以上 10‰ 以下的罚款，对单位直接负责的主管人员和其他直接责任人员处单位罚款数额5%以上10%以下的罚款；有违法所得的，并处没收违法所得；情节严重的，取消其1年至3年内参加依法必须进行招标的建筑工程设计招标的投标资格，并予以公告，直至由工商行政管理机关吊销营业执照。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第三十四条 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3000元以上5万元以下的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评标委员会成员有前款所列行为的，由有关主管部门通报批评并取消担任评标委员会成员的资格，不得再参加任何依法必须进行招标的建筑工程设计招标投标的评标；构成犯罪的，依法追究刑事责任。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第三十五条 评标委员会成员违反本办法规定，对应当否决的投标不提出否决意见的，由县级以上地方人民政府住房城乡建设主管部门责令改正；情节严重的，禁止其在一定期限内参加依法必须进行招标的建筑工程设计招标投标的评标；情节特别严重的，由有关主管部门取消其担任评标委员会成员的资格。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第三十六条 住房城乡建设主管部门或者有关职能部门的工作人员徇私舞弊、滥用职权或者玩忽职守，构成犯罪的，依法追究刑事责任；不构成犯罪的，依法给予行政处分。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第三十七条 市政公用工程及园林工程设计招标投标参照本办法执行。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第三十八条 本办法自2017年5月1日起施行。2000年10月18日建设部颁布的《建筑工程设计招标投标管理办法》（建设部令第82号）同时废止。</w:t>
      </w:r>
      <w:r>
        <w:rPr>
          <w:rFonts w:hint="eastAsia" w:ascii="宋体" w:hAnsi="宋体" w:eastAsia="宋体" w:cs="宋体"/>
          <w:color w:val="auto"/>
          <w:sz w:val="32"/>
          <w:szCs w:val="32"/>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A8BCA"/>
    <w:multiLevelType w:val="singleLevel"/>
    <w:tmpl w:val="D64A8BCA"/>
    <w:lvl w:ilvl="0" w:tentative="0">
      <w:start w:val="1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2D3D764F"/>
    <w:rsid w:val="2D3D764F"/>
    <w:rsid w:val="4802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paragraph" w:styleId="3">
    <w:name w:val="heading 4"/>
    <w:next w:val="1"/>
    <w:unhideWhenUsed/>
    <w:qFormat/>
    <w:uiPriority w:val="9"/>
    <w:pPr>
      <w:keepNext/>
      <w:keepLines/>
      <w:spacing w:after="110" w:line="259" w:lineRule="auto"/>
      <w:ind w:left="10" w:right="430" w:hanging="10"/>
      <w:jc w:val="center"/>
      <w:outlineLvl w:val="3"/>
    </w:pPr>
    <w:rPr>
      <w:rFonts w:ascii="微软雅黑" w:hAnsi="微软雅黑" w:eastAsia="微软雅黑" w:cs="微软雅黑"/>
      <w:color w:val="000000"/>
      <w:kern w:val="2"/>
      <w:sz w:val="34"/>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2023-08-01T05:55:00Z</dcterms:created>
  <dc:creator>ʚ  ɞ</dc:creator>
  <cp:lastModifiedBy>WPS_1505371123</cp:lastModifiedBy>
  <dcterms:modified xsi:type="dcterms:W3CDTF">2023-08-03T05:32:45Z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416456883E2E444CA5692511AEC8ADA3_11</vt:lpwstr>
  </property>
</Properties>
</file>