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outlineLvl w:val="5"/>
        <w:rPr>
          <w:rFonts w:ascii="微软雅黑" w:hAnsi="微软雅黑" w:eastAsia="微软雅黑" w:cs="宋体"/>
          <w:b/>
          <w:bCs/>
          <w:color w:val="1989DD"/>
          <w:kern w:val="0"/>
          <w:sz w:val="51"/>
          <w:szCs w:val="51"/>
        </w:rPr>
      </w:pPr>
      <w:r>
        <w:rPr>
          <w:rFonts w:hint="eastAsia" w:ascii="方正小标宋简体" w:hAnsi="方正小标宋简体" w:eastAsia="方正小标宋简体" w:cs="方正小标宋简体"/>
          <w:b w:val="0"/>
          <w:bCs w:val="0"/>
          <w:color w:val="auto"/>
          <w:kern w:val="0"/>
          <w:sz w:val="44"/>
          <w:szCs w:val="44"/>
        </w:rPr>
        <w:t>关于改革非国有资金投资房屋建筑和市政基础设施工程项目发包方式的通知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outlineLvl w:val="0"/>
        <w:rPr>
          <w:rFonts w:hint="eastAsia" w:ascii="宋体" w:hAnsi="宋体" w:eastAsia="宋体" w:cs="宋体"/>
          <w:color w:val="313234"/>
          <w:kern w:val="0"/>
          <w:sz w:val="28"/>
          <w:szCs w:val="28"/>
        </w:rPr>
      </w:pPr>
      <w:r>
        <w:rPr>
          <w:rFonts w:hint="eastAsia" w:ascii="宋体" w:hAnsi="宋体" w:eastAsia="宋体" w:cs="宋体"/>
          <w:color w:val="000000"/>
          <w:kern w:val="36"/>
          <w:sz w:val="28"/>
          <w:szCs w:val="28"/>
        </w:rPr>
        <w:t>青建工〔2015〕166号</w:t>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宋体" w:hAnsi="宋体" w:eastAsia="宋体" w:cs="宋体"/>
          <w:color w:val="313234"/>
          <w:kern w:val="0"/>
          <w:sz w:val="28"/>
          <w:szCs w:val="28"/>
        </w:rPr>
      </w:pPr>
      <w:r>
        <w:rPr>
          <w:rFonts w:hint="eastAsia" w:ascii="宋体" w:hAnsi="宋体" w:eastAsia="宋体" w:cs="宋体"/>
          <w:color w:val="000000"/>
          <w:kern w:val="0"/>
          <w:sz w:val="28"/>
          <w:szCs w:val="28"/>
        </w:rPr>
        <w:t>西宁市建委、海东市城乡规划和建设局，各州住房城乡建设局：</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13234"/>
          <w:kern w:val="0"/>
          <w:sz w:val="28"/>
          <w:szCs w:val="28"/>
        </w:rPr>
      </w:pPr>
      <w:r>
        <w:rPr>
          <w:rFonts w:hint="eastAsia" w:ascii="宋体" w:hAnsi="宋体" w:eastAsia="宋体" w:cs="宋体"/>
          <w:color w:val="000000"/>
          <w:kern w:val="0"/>
          <w:sz w:val="28"/>
          <w:szCs w:val="28"/>
        </w:rPr>
        <w:t>根据住房城乡建设部《关于推进建筑业发展和改革的若干意见》(建市〔2014〕92号)、《青海省人民政府办公厅关于推进建筑业改革发展的指导意见》（青政办〔2014〕91号）等文件精神和要求，现就改革我省非国有资金投资房屋建筑和市政基础设施工程项目(以下简称非国有资金投资项目)发包方式有关事项通知如下：</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13234"/>
          <w:kern w:val="0"/>
          <w:sz w:val="28"/>
          <w:szCs w:val="28"/>
        </w:rPr>
      </w:pPr>
      <w:r>
        <w:rPr>
          <w:rFonts w:hint="eastAsia" w:ascii="宋体" w:hAnsi="宋体" w:eastAsia="宋体" w:cs="宋体"/>
          <w:color w:val="000000"/>
          <w:kern w:val="0"/>
          <w:sz w:val="28"/>
          <w:szCs w:val="28"/>
        </w:rPr>
        <w:t>一、自2015年6月1日起，在我省行政区域内全部使用非国有资金投资的房屋建筑和市政基础设施工程</w:t>
      </w:r>
      <w:bookmarkStart w:id="0" w:name="_GoBack"/>
      <w:bookmarkEnd w:id="0"/>
      <w:r>
        <w:rPr>
          <w:rFonts w:hint="eastAsia" w:ascii="宋体" w:hAnsi="宋体" w:eastAsia="宋体" w:cs="宋体"/>
          <w:color w:val="000000"/>
          <w:kern w:val="0"/>
          <w:sz w:val="28"/>
          <w:szCs w:val="28"/>
        </w:rPr>
        <w:t>项目，由项目建设单位自主决定是否进行招标或直接发包，是否进入有形建筑市场开展工程交易活动。</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13234"/>
          <w:kern w:val="0"/>
          <w:sz w:val="28"/>
          <w:szCs w:val="28"/>
        </w:rPr>
      </w:pPr>
      <w:r>
        <w:rPr>
          <w:rFonts w:hint="eastAsia" w:ascii="宋体" w:hAnsi="宋体" w:eastAsia="宋体" w:cs="宋体"/>
          <w:color w:val="000000"/>
          <w:kern w:val="0"/>
          <w:sz w:val="28"/>
          <w:szCs w:val="28"/>
        </w:rPr>
        <w:t>非国有资金投资项目，是指建设资金来源中不含国有资金、国家融资资金、国际组织贷款或援助资金、外国政府贷款或援助资金等工程建设项目。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13234"/>
          <w:kern w:val="0"/>
          <w:sz w:val="28"/>
          <w:szCs w:val="28"/>
        </w:rPr>
      </w:pPr>
      <w:r>
        <w:rPr>
          <w:rFonts w:hint="eastAsia" w:ascii="宋体" w:hAnsi="宋体" w:eastAsia="宋体" w:cs="宋体"/>
          <w:color w:val="000000"/>
          <w:kern w:val="0"/>
          <w:sz w:val="28"/>
          <w:szCs w:val="28"/>
        </w:rPr>
        <w:t>二、项目建设单位采用直接发包的，应当切实履行工程质量安全主体责任，依法将工程项目发包给具有相应资质的承包单位，并对选择的设计、施工等单位承担责任。严格遵守相关工程项目建设的法律法规要求，确保工程建设实施活动规范有序。</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13234"/>
          <w:kern w:val="0"/>
          <w:sz w:val="28"/>
          <w:szCs w:val="28"/>
        </w:rPr>
      </w:pPr>
      <w:r>
        <w:rPr>
          <w:rFonts w:hint="eastAsia" w:ascii="宋体" w:hAnsi="宋体" w:eastAsia="宋体" w:cs="宋体"/>
          <w:color w:val="000000"/>
          <w:kern w:val="0"/>
          <w:sz w:val="28"/>
          <w:szCs w:val="28"/>
        </w:rPr>
        <w:t>三、各级住房城乡建设行政主管部门和招标投标监督管理机构，要对直接发包的非国有资金投资项目加强事中、事后监督管理，加大对履行基本建设程序的检查执法力度，加强对各方责任主体建筑市场和建筑现场行为的联动监管，防止肢解发包、挂靠、违法分包和非法转包行为的发生，强化工程质量安全监管责任。</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13234"/>
          <w:kern w:val="0"/>
          <w:sz w:val="28"/>
          <w:szCs w:val="28"/>
        </w:rPr>
      </w:pPr>
      <w:r>
        <w:rPr>
          <w:rFonts w:hint="eastAsia" w:ascii="宋体" w:hAnsi="宋体" w:eastAsia="宋体" w:cs="宋体"/>
          <w:color w:val="000000"/>
          <w:kern w:val="0"/>
          <w:sz w:val="28"/>
          <w:szCs w:val="28"/>
        </w:rPr>
        <w:t>各地在改革试行过程中遇到的问题请及时向省工程建设招标投标管理办公室反馈。</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13234"/>
          <w:kern w:val="0"/>
          <w:sz w:val="28"/>
          <w:szCs w:val="28"/>
        </w:rPr>
      </w:pPr>
      <w:r>
        <w:rPr>
          <w:rFonts w:hint="eastAsia" w:ascii="宋体" w:hAnsi="宋体" w:eastAsia="宋体" w:cs="宋体"/>
          <w:color w:val="000000"/>
          <w:kern w:val="0"/>
          <w:sz w:val="28"/>
          <w:szCs w:val="28"/>
        </w:rPr>
        <w:t>联系人及联系电话： 李富民　　0971-6368318</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13234"/>
          <w:kern w:val="0"/>
          <w:sz w:val="28"/>
          <w:szCs w:val="28"/>
        </w:rPr>
      </w:pPr>
      <w:r>
        <w:rPr>
          <w:rFonts w:hint="eastAsia" w:ascii="宋体" w:hAnsi="宋体" w:eastAsia="宋体" w:cs="宋体"/>
          <w:color w:val="000000"/>
          <w:kern w:val="0"/>
          <w:sz w:val="28"/>
          <w:szCs w:val="28"/>
        </w:rPr>
        <w:t>　　　　　　　　　　　 青海省住房和城乡建设厅</w:t>
      </w:r>
    </w:p>
    <w:p>
      <w:pPr>
        <w:keepNext w:val="0"/>
        <w:keepLines w:val="0"/>
        <w:pageBreakBefore w:val="0"/>
        <w:kinsoku/>
        <w:wordWrap/>
        <w:overflowPunct/>
        <w:topLinePunct w:val="0"/>
        <w:autoSpaceDE/>
        <w:autoSpaceDN/>
        <w:bidi w:val="0"/>
        <w:adjustRightInd/>
        <w:snapToGrid/>
        <w:spacing w:line="576"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F3534E"/>
    <w:rsid w:val="00F3534E"/>
    <w:rsid w:val="1F707A57"/>
    <w:rsid w:val="3A6B732C"/>
    <w:rsid w:val="7C16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Words>
  <Characters>621</Characters>
  <Lines>5</Lines>
  <Paragraphs>1</Paragraphs>
  <TotalTime>6</TotalTime>
  <ScaleCrop>false</ScaleCrop>
  <LinksUpToDate>false</LinksUpToDate>
  <CharactersWithSpaces>728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2023-08-01T09:14:00Z</dcterms:created>
  <dc:creator>ngy</dc:creator>
  <cp:lastModifiedBy>WPS_1505371123</cp:lastModifiedBy>
  <dcterms:modified xsi:type="dcterms:W3CDTF">2023-08-03T07:41:03Z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6D0714C6EA25490693E1E7CAF1946CD8_12</vt:lpwstr>
  </property>
</Properties>
</file>