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青海省公共资源交易平台管理暂行办法</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第一章　总则</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第一条　为规范我省公共资源交易平台运行，提高公共资源配置效率和效益，加强对权力运行的监督制约，维护国家利益、社会公共利益和交易当事人的合法权益，根据国家发展改革委等１４部委印发的《公共资源交易平台管理暂行办法》（国家发展改革委第３９号令）等相关政策法规，结合我省实际，制定本办法。</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第二条　本办法适用于全省范围内公共资源交易平台的运行、服务和监督管理。</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第三条　本办法所称公共资源交易平台是指实施统一的制度和标准、具备开放共享的公共资源交易电子服务系统和规范透明的运行机制，为市场主体、社会公众、行政监督管理部门等提供公共资源交易综合服务的体系。</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公共资源交易是指涉及公共利益、公众安全的具有公有性、公益性的资源交易活动。</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第四条　公共资源交易平台应当立足公共服务职能定位，坚持电子化平台发展方向、遵循政府主导、管办分离、开放透明、资源共享、守法诚信的运行服务原则。</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第五条　公共资源交易平台要利用信息网络推进交易电子化，实现全流程透明化管理。</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第二章　组织管理</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第六条　省发展改革委负责全省公共资源交易平台相关工作的统筹协调和组织管理，并指导省公共资源交易监督管理局制定我省统一的公共资源交易制度规范。市（州）发展改革部门会同相关部门负责指导和协调本行政区域的公共资源交易平台相关工作。</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第七条　省公共资源交易监督管理局负责全省公共资源交易活动综合监督管理工作。各级招标投标、财政、国土资源、国有资产监督管理等行政监督管理部门按照规定的职责分工，负责公共资源交易活动的监督管理。</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第八条　省、市（州）公共资源交易中心是省、市（州）政府成立的公共资源交易平台运行服务机构，主要履行以下职责：</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（一）负责本行政区域内公共资源交易活动的服务工作；</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（二）为公共资源交易活动提供场所、设施，实施公共资源交易目录范围内的进场交易服务工作；</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（三）组织实施公共资源交易管理制度、交易规则和流程；</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（四）收集、发布和存储各类公共资源交易信息，建立公共资源交易信用档案；</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（五）负责场内信誉评价等工作。</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第三章　平台运行</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第九条　公共资源交易平台的运行应当遵循相关法律法规和国务院相关部门制定的各领域统一的交易规则，以及省人民政府颁布的平台服务管理制度。</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第十条　依法必须招标的工程建设项目招标投标、国有土地使用权和矿业权出让、国有产权交易、政府采购等执行《青海省公共资源交易目录》，按实施主体分级纳入公共资源交易平台。县（市、区、行委）以及各开发区公共资源交易项目应纳入所属行政区域的市（州）公共资源交易平台。</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推进疫苗采购纳入省级公共资源交易平台交易，推进排污权交易、碳排放权交易、林权等其他公共资源交易逐步纳入公共资源交易平台。纳入交易平台的公共资源交易项目，应当公开听取意见，并向社会公布。</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采取挂牌、拍卖及其他竞（比）价方式的公共资源交易项目，也应当在省内公共资源交易电子交易平台进行。依法建设和运行的第三方平台交易应与省公共资源电子交易系统对接。企业国有产权协议转让等国家另有规定的，从其规定。</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第十一条　鼓励中央企业在青投资项目和未列入《青海省公共资源交易目录》的公共资源交易项目以及非公共资源交易项目纳入省内公共资源交易平台进行交易。</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第十二条　公共资源交易平台应当按照国家统一的技术标准和数据规范，建立公共资源交易电子服务系统，开放</w:t>
      </w:r>
      <w:r>
        <w:rPr>
          <w:rFonts w:ascii="仿宋_GB2312" w:eastAsia="仿宋_GB2312" w:hAnsi="Times New Roman" w:cs="Times New Roman" w:hint="eastAsia"/>
          <w:color w:val="000000"/>
          <w:sz w:val="32"/>
          <w:szCs w:val="32"/>
        </w:rPr>
        <w:lastRenderedPageBreak/>
        <w:t>对接各类主体依法建设的公共资源电子交易系统和政府相关部门的电子监督管理系统。</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第十三条　进场交易的公共资源交易项目，应当符合法律法规规定的交易条件。按照国家相关规定需要履行项目审批、核准或备案手续的交易项目，应当报相关行政监督管理部门审批、核准（备案）后，方可进场交易。</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第十四条　公共资源交易项目依法需要评标、评审的，应当按照国家统一的专家专业分类标准，从依法建立的省级综合评标专家库、政府采购评审专家库中随机抽取专家，法律法规另有规定的除外。</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第十五条　进入各级公共资源交易中心的项目，应当按照下列规定进行交易：</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（一）按相关规定办理进场交易事项；</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（二）完成项目交易后，公共资源交易中心向相关交易主体出具交易见证（鉴证）文件。</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第十六条　各级公共资源交易中心应当设立独立的专家抽取场所，具备密封打印名单等功能，并由专人负责。任何单位和个人不得以明示、暗示等方式指定或者变相指定专家。</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第十七条　各级公共资源交易中心应当完善物理隔离、技术隔离、流程隔离等措施，安装音视频监控、电子评标、远程评标、变声对讲等系统，设立隔夜评标、电子门禁、指</w:t>
      </w:r>
      <w:r>
        <w:rPr>
          <w:rFonts w:ascii="仿宋_GB2312" w:eastAsia="仿宋_GB2312" w:hAnsi="Times New Roman" w:cs="Times New Roman" w:hint="eastAsia"/>
          <w:color w:val="000000"/>
          <w:sz w:val="32"/>
          <w:szCs w:val="32"/>
        </w:rPr>
        <w:lastRenderedPageBreak/>
        <w:t>纹与身份识别、自动安检等设施设备，实现公共资源交易的全过程、全时段电子监控。</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第十八条　公共资源交易平台应当建立健全网络信息安全制度，落实安全保护技术措施，保障平台平稳运行。</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第四章　平台服务</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第十九条　各级公共资源交易中心应当通过公共资源交易电子服务系统，主动向社会公布服务内容、服务流程、收费标准、工作规范、监督渠道等事项，接受社会监督。</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第二十条　公共资源交易平台应当推行网上预约和网上服务事项办理，确需在窗口办理的以简化流程、限时办结和便民高效为原则，为公共资源交易市场主体提供服务。</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第二十一条　公共资源交易平台应当将公共资源交易公告、资格审查结果、交易过程信息、成交信息、履约信息等，通过省公共资源交易电子服务系统依法及时向社会公开。涉及国家秘密、商业秘密、个人隐私以及其他依法应当保密的信息除外。</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公共资源交易平台应无偿提供依法必须公开的信息。</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第二十二条　交易服务过程中产生的电子文档、纸质文件以及音视频资料等，实施主体、代理机构、公共资源交易平台应当根据相关规定归档保存，并提供查询服务。</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第二十三条　各级公共资源交易中心及其工作人员不得从事以下活动：</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lastRenderedPageBreak/>
        <w:t>（一）行使任何审批、备案、处罚等行政监督管理职能；</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（二）违法从事或强制指定招标、拍卖、政府采购代理、工程造价等中介服务；</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（三）强制非公共资源交易项目进入平台交易；</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（四）干涉市场主体选择依法建设和运行的公共资源电子交易系统；</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（五）非法扣押企业和有关人员的相关证照资料；</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（六）通过设置注册登记、设立分支机构、资质验证、投标（竞买）许可、强制担保等限制性条件阻碍或者排斥其他地区市场主体进入本地区公共资源交易市场；</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（七）违法要求企业法定代表人到场办理相关手续；</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（八）泄露应当保密的信息或隐匿、销毁应当保存的文件（数据）、音视频资料或伪造、变更文件（数据）资料等；</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（九）其他违反法律法规规定的情形。</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第二十四　条各级公共资源交易中心提供公共服务确需收费的，不得以营利为目的。根据平台运行服务机构的性质，其收费分别纳入行政事业性收费和经营服务性收费管理。属于政府定价的经营服务性收费项目其收费标准按照省发展改革委会同相关部门制定的公共资源交易平台服务收费标准执行。确需收取的行政事业性收费，按照已公布的《青海省行政事业性收费和政府性基金目录清单》执行或报经省政府批准后执行，任何地区和单位不得擅自设立收费项目。</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lastRenderedPageBreak/>
        <w:t>其他机构不得以任何理由进入公共资源交易平台向市场主体进行收费。国家另有规定的，从其规定。</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第二十五条　各级公共资源交易中心发现公共资源交易活动中有违法违规行为的，应当保留相关证据并根据监督管理职责及时向公共资源交易综合监督管理部门、相关行政监督管理部门报告。</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第二十六条　各级行政监督管理部门应当将公共资源交易活动当事人资质资格、信用奖惩、项目审批和违法违规处罚等信息，自作出行政决定之日起７个工作日内通过相关电子监督管理系统交换至省公共资源交易电子服务系统。</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第五章　信息资源共享</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第二十七条　公共资源交易平台应当依托统一的社会信用代码，记录在公共资源交易过程中的市场主体和专家信用信息，并通过省公共资源交易电子服务系统和国家公共资源交易电子服务系统实现信息交换共享和动态更新。</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第二十八条　省行政服务和公共资源交易中心牵头建立全省统一、终端覆盖各市（州）的公共资源交易电子公共服务系统，对接国家公共资源交易电子服务系统和相关部门建立的电子系统，按照相关规定交换共享信息。实现交易信息、行政监督管理信息的集中交换和同步共享。相关电子招标投标、政府采购等系统应当分别与国家电子招标投标公共服务系统、政府采购管理交易系统对接和交换信息。</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第二十九条　省公共资源交易电子服务系统应当分别与投资项目在线审批监督管理系统、信用信息共享系统对接，交换共享公共资源交易相关信息、项目审批核准信息和信用信息。</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第三十条　市场主体已在省公共资源电子交易系统登记注册，并通过系统实现信息共享的，相关行政监督管理部门和各市（州）公共资源交易中心不得强制要求其重复登记、备案和验证。</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第三十一条　省公共资源交易电子服务系统办理ＣＡ电子认证证书，应当在全省范围内兼容互认，各相关监督管理部门和市（州）公共资源交易中心不得强制要求市场主体重复办理ＣＡ电子认证证书。</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第三十二条　公共资源交易平台和相关监督管理部门在公共资源交易数据采集、汇总、传输、存储、公开、使用过程中，应加强数据安全管理。涉密数据的管理，按照相关法律规定执行。</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第六章　监督管理</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第三十三条　全省公共资源交易活动，采取各级公共资源交易监督管理部门综合监督管理、相关行政监督管理部门行业监督管理、审计部门审计监督管理相结合的方式，形成各负其责、相互协调、综合监管机制，加强对公共资源交易活动的事中事后监督管理，依法查处违法违规行为。</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第三十四条　省政府行政服务和公共资源交易中心牵头建立全省统一、终端覆盖各市（州）的公共资源交易电子监督管理系统，实现对项目登记，公告发布，开标评标或评审、竞价，成交公示，交易结果确认，投诉举报，交易履约等交易全过程监控。</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第三十五条　省公共资源交易监督管理局负责建立市场主体公共资源交易活动事前信用承诺制度，通过省公共资源电子交易服务系统以规范格式向社会作出公开承诺，并纳入交易主体信用记录，接受社会监督。</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第三十六条　各级行政监督管理部门应当将公共资源交易主体信用信息作为市场准入、项目审批、资质资格审核的重要依据。</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建立省公共资源交易监督管理局、相关行政监督管理部门、省法院、省检察院等部门联合惩戒机制，对在公共资源交易活动中有不良行为记录的市场主体，依法限制或禁止其参加招标投标、国有土地使用权出让和矿业权出让、国有产权交易、政府采购等公共资源交易活动。</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建立公共资源交易相关信息与同级税务机关共享机制，推进税收协作。</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第三十七条　各级行政监督管理部门应当运用大数据技术，建立公共资源交易数据关联比对分析机制，开展监测预警，定期进行效果评估，及时调整监督管理重点。</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lastRenderedPageBreak/>
        <w:t>由省公共资源交易监督管理局负责建立公共资源交易数据统计分析制度，省、市（州）公共资源交易中心应当按制度规定向省公共资源交易监督管理局报送相关数据。</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第三十八条　各级综合监督管理部门和相关行政监督管理部门应当建立联合抽查机制，对有效投诉举报多或有违法违规记录情况的市场主体，加大随机抽查力度。</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行政监督管理部门在履行监督管理职责过程中，有权查阅、复制公共资源交易活动相关文件、资料和数据。各级公共资源交易中心应当如实提供相关情况。</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第三十九条　省发展改革委、省公共资源交易监督管理局会同相关行政监督管理部门，负责建立市场主体及第三方参与公共资源交易活动的社会评价机制，将涉及工程建设项目招标投标、国有土地使用权和矿业权、国有产权交易、政府采购等公共资源交易的各方主体纳入评价对象，主要包括交易中心、项目业主、交易代理机构、投标方或供应商等。</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第四十条　对市场主体或各级公共资源交易中心及其工作人员违法违规行为，应依法向相关行政监督管理部门或上一级公共资源交易综合监督管理部门投诉、举报。</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第四十一条　公共资源交易领域的行业协会应当发挥行业组织作用，加强自律管理和服务。</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第七章　法律责任</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第四十二条　各级公共资源交易中心未公开服务内容、服务流程、工作规范、收费标准和监督渠道，由政府有关部门责令限期改正。拒不改正的，予以通报批评。</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第四十三条　各级公共资源交易中心及其工作人员违反本办法第二十四条禁止性规定的，由省公共资源交易监督管理局责令限期改正，并予以通报批评。情节严重的，依法追究直接责任人和相关领导的责任。构成犯罪的，依法追究刑事责任。</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第四十四条　各级公共资源交易中心违反本办法第二十四条规定收取费用的，由省发展改革委会同省公共资源交易监督管理局责令限期改正。拒不改正的，依照《中华人民共和国价格法》、《价格违法行为行政处罚规定》等给予处罚，并予以通报。</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第四十五条　相关行政监督管理部门、省、市（州）公共资源交易中心及其工作人员徇私舞弊、滥用职权、弄虚作假、玩忽职守，未依法履行职责的，依法给予处分；构成犯罪的，依法追究刑事责任。</w:t>
      </w:r>
    </w:p>
    <w:p w:rsidR="00C15D47" w:rsidRDefault="00C15D47" w:rsidP="00C15D47">
      <w:pPr>
        <w:pStyle w:val="a3"/>
        <w:spacing w:before="0" w:beforeAutospacing="0" w:after="0" w:afterAutospacing="0" w:line="432" w:lineRule="auto"/>
        <w:ind w:firstLine="640"/>
        <w:jc w:val="center"/>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第八章　附则</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第四十六条　公共资源电子交易系统是根据工程建设项目招标投标、国有土地使用权和矿业权出让、国有产权交易、政府采购等各类交易特点，按照相关规定建设、对接和运行，以数据电文形式完成公共资源交易活动的信息系统。</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lastRenderedPageBreak/>
        <w:t>省公共资源交易电子监督管理系统是政府相关部门在线监督公共资源交易活动的信息系统。</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Style w:val="leaidx"/>
          <w:rFonts w:ascii="仿宋_GB2312" w:eastAsia="仿宋_GB2312" w:hAnsi="Times New Roman" w:cs="Times New Roman" w:hint="eastAsia"/>
          <w:color w:val="000000"/>
          <w:sz w:val="32"/>
          <w:szCs w:val="32"/>
        </w:rPr>
        <w:t>省公共资源交易电子服务系统是联通公共资源电子交易系统、监督管理系统和其他电子系统，实现公共资源交易信息数据交换共享，并提供公共服务的枢纽。</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第四十七条　各级公共资源交易中心是由省、市（州）政府推动设立的，通过资源整合共享方式，为公共资源交易相关市场主体、社会公众、行政监督管理部门等提供公共服务的单位。</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第四十八条　本办法由省公共资源交易监督管理局会同省发展改革委负责解释。</w:t>
      </w:r>
    </w:p>
    <w:p w:rsidR="00C15D47" w:rsidRDefault="00C15D47" w:rsidP="00C15D47">
      <w:pPr>
        <w:pStyle w:val="a3"/>
        <w:spacing w:before="0" w:beforeAutospacing="0" w:after="0" w:afterAutospacing="0" w:line="432" w:lineRule="auto"/>
        <w:ind w:firstLine="640"/>
        <w:jc w:val="both"/>
        <w:rPr>
          <w:rFonts w:ascii="Times New Roman" w:eastAsia="微软雅黑" w:hAnsi="Times New Roman" w:cs="Times New Roman"/>
          <w:color w:val="000000"/>
          <w:sz w:val="21"/>
          <w:szCs w:val="21"/>
        </w:rPr>
      </w:pPr>
      <w:r>
        <w:rPr>
          <w:rFonts w:ascii="仿宋_GB2312" w:eastAsia="仿宋_GB2312" w:hAnsi="Times New Roman" w:cs="Times New Roman" w:hint="eastAsia"/>
          <w:color w:val="000000"/>
          <w:sz w:val="32"/>
          <w:szCs w:val="32"/>
        </w:rPr>
        <w:t>第四十九条　本办法自２０１７年９月２日起实施。</w:t>
      </w:r>
    </w:p>
    <w:p w:rsidR="003E2500" w:rsidRDefault="003E2500" w:rsidP="00FF4BFA">
      <w:pPr>
        <w:ind w:firstLine="420"/>
      </w:pPr>
    </w:p>
    <w:sectPr w:rsidR="003E2500" w:rsidSect="003E25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5D47"/>
    <w:rsid w:val="0017747A"/>
    <w:rsid w:val="003E2500"/>
    <w:rsid w:val="004A580F"/>
    <w:rsid w:val="009E19E7"/>
    <w:rsid w:val="00C15D47"/>
    <w:rsid w:val="00FF4B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0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D4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leaidx">
    <w:name w:val="leaidx"/>
    <w:basedOn w:val="a0"/>
    <w:rsid w:val="00C15D47"/>
  </w:style>
</w:styles>
</file>

<file path=word/webSettings.xml><?xml version="1.0" encoding="utf-8"?>
<w:webSettings xmlns:r="http://schemas.openxmlformats.org/officeDocument/2006/relationships" xmlns:w="http://schemas.openxmlformats.org/wordprocessingml/2006/main">
  <w:divs>
    <w:div w:id="118231335">
      <w:bodyDiv w:val="1"/>
      <w:marLeft w:val="0"/>
      <w:marRight w:val="0"/>
      <w:marTop w:val="0"/>
      <w:marBottom w:val="0"/>
      <w:divBdr>
        <w:top w:val="none" w:sz="0" w:space="0" w:color="auto"/>
        <w:left w:val="none" w:sz="0" w:space="0" w:color="auto"/>
        <w:bottom w:val="none" w:sz="0" w:space="0" w:color="auto"/>
        <w:right w:val="none" w:sz="0" w:space="0" w:color="auto"/>
      </w:divBdr>
      <w:divsChild>
        <w:div w:id="125882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2018-05-03T03:34:00Z</dcterms:created>
  <dcterms:modified xsi:type="dcterms:W3CDTF">2018-05-03T03:34:00Z</dcterms:modified>
</cp:coreProperties>
</file>